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4555D7DB"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6A4E4B">
        <w:rPr>
          <w:b/>
          <w:sz w:val="28"/>
          <w:szCs w:val="28"/>
        </w:rPr>
        <w:t>-2</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38440CE9" w:rsidR="00D66855" w:rsidRPr="00D66855" w:rsidRDefault="00D66855" w:rsidP="00D66855">
      <w:pPr>
        <w:spacing w:line="312" w:lineRule="auto"/>
        <w:ind w:firstLine="567"/>
        <w:jc w:val="both"/>
        <w:rPr>
          <w:b/>
          <w:sz w:val="22"/>
          <w:szCs w:val="22"/>
        </w:rPr>
      </w:pPr>
      <w:r w:rsidRPr="00D66855">
        <w:rPr>
          <w:b/>
          <w:sz w:val="22"/>
          <w:szCs w:val="22"/>
        </w:rPr>
        <w:t>Лот №1: офис №2</w:t>
      </w:r>
      <w:r w:rsidR="00330D28">
        <w:rPr>
          <w:b/>
          <w:sz w:val="22"/>
          <w:szCs w:val="22"/>
        </w:rPr>
        <w:t>0</w:t>
      </w:r>
      <w:r w:rsidR="002C6E99">
        <w:rPr>
          <w:b/>
          <w:sz w:val="22"/>
          <w:szCs w:val="22"/>
        </w:rPr>
        <w:t>4</w:t>
      </w:r>
      <w:r w:rsidRPr="00D66855">
        <w:rPr>
          <w:b/>
          <w:sz w:val="22"/>
          <w:szCs w:val="22"/>
        </w:rPr>
        <w:t xml:space="preserve"> на втором этаже общей площадью </w:t>
      </w:r>
      <w:r w:rsidR="002C6E99">
        <w:rPr>
          <w:b/>
          <w:sz w:val="22"/>
          <w:szCs w:val="22"/>
        </w:rPr>
        <w:t>20,2</w:t>
      </w:r>
      <w:r w:rsidRPr="00D66855">
        <w:rPr>
          <w:b/>
          <w:sz w:val="22"/>
          <w:szCs w:val="22"/>
        </w:rPr>
        <w:t xml:space="preserve">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00F7420B" w:rsid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AF26B72" w14:textId="7AADDD4D" w:rsidR="006A4E4B" w:rsidRPr="00D66855" w:rsidRDefault="006A4E4B" w:rsidP="006A4E4B">
      <w:pPr>
        <w:spacing w:line="312" w:lineRule="auto"/>
        <w:ind w:firstLine="567"/>
        <w:jc w:val="both"/>
        <w:rPr>
          <w:b/>
          <w:sz w:val="22"/>
          <w:szCs w:val="22"/>
        </w:rPr>
      </w:pPr>
      <w:r w:rsidRPr="00D66855">
        <w:rPr>
          <w:b/>
          <w:sz w:val="22"/>
          <w:szCs w:val="22"/>
        </w:rPr>
        <w:t>Лот №</w:t>
      </w:r>
      <w:r>
        <w:rPr>
          <w:b/>
          <w:sz w:val="22"/>
          <w:szCs w:val="22"/>
        </w:rPr>
        <w:t>2</w:t>
      </w:r>
      <w:r w:rsidRPr="00D66855">
        <w:rPr>
          <w:b/>
          <w:sz w:val="22"/>
          <w:szCs w:val="22"/>
        </w:rPr>
        <w:t>: офис №2</w:t>
      </w:r>
      <w:r>
        <w:rPr>
          <w:b/>
          <w:sz w:val="22"/>
          <w:szCs w:val="22"/>
        </w:rPr>
        <w:t>17</w:t>
      </w:r>
      <w:r w:rsidRPr="00D66855">
        <w:rPr>
          <w:b/>
          <w:sz w:val="22"/>
          <w:szCs w:val="22"/>
        </w:rPr>
        <w:t xml:space="preserve"> на втором этаже общей площадью </w:t>
      </w:r>
      <w:r>
        <w:rPr>
          <w:b/>
          <w:sz w:val="22"/>
          <w:szCs w:val="22"/>
        </w:rPr>
        <w:t>14,0</w:t>
      </w:r>
      <w:r w:rsidRPr="00D66855">
        <w:rPr>
          <w:b/>
          <w:sz w:val="22"/>
          <w:szCs w:val="22"/>
        </w:rPr>
        <w:t xml:space="preserve">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6110B197" w14:textId="77777777" w:rsidR="006A4E4B" w:rsidRPr="00D66855" w:rsidRDefault="006A4E4B" w:rsidP="006A4E4B">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8AD49BC" w14:textId="4B9CA737" w:rsidR="006A4E4B" w:rsidRPr="00D66855" w:rsidRDefault="006A4E4B" w:rsidP="006A4E4B">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7CC5C530"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 xml:space="preserve">согласно отчету № НН-0805-21 от 13.12.2021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542 (пятьсот </w:t>
      </w:r>
      <w:r w:rsidR="0080215A">
        <w:rPr>
          <w:sz w:val="22"/>
          <w:szCs w:val="22"/>
        </w:rPr>
        <w:t>сорок два</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77777777"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коп./кв.м./мес.;</w:t>
      </w:r>
    </w:p>
    <w:p w14:paraId="6B76ECB3" w14:textId="77777777" w:rsidR="007A773A" w:rsidRPr="007A773A" w:rsidRDefault="007A773A" w:rsidP="007A773A">
      <w:pPr>
        <w:pStyle w:val="afffa"/>
        <w:widowControl/>
        <w:spacing w:line="312" w:lineRule="auto"/>
        <w:ind w:firstLine="567"/>
        <w:rPr>
          <w:sz w:val="22"/>
          <w:szCs w:val="22"/>
        </w:rPr>
      </w:pPr>
      <w:r w:rsidRPr="007A773A">
        <w:rPr>
          <w:sz w:val="22"/>
          <w:szCs w:val="22"/>
        </w:rPr>
        <w:lastRenderedPageBreak/>
        <w:tab/>
        <w:t>2) второй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коп./кв.м./мес.;</w:t>
      </w:r>
    </w:p>
    <w:p w14:paraId="4C6380C5" w14:textId="7777777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3) третий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31C605AB"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6A4E4B">
        <w:rPr>
          <w:b/>
          <w:i/>
          <w:sz w:val="22"/>
          <w:szCs w:val="22"/>
        </w:rPr>
        <w:t>28</w:t>
      </w:r>
      <w:r w:rsidR="00CC63EE">
        <w:rPr>
          <w:b/>
          <w:i/>
          <w:sz w:val="22"/>
          <w:szCs w:val="22"/>
        </w:rPr>
        <w:t xml:space="preserve"> </w:t>
      </w:r>
      <w:r w:rsidR="006A4E4B">
        <w:rPr>
          <w:b/>
          <w:i/>
          <w:sz w:val="22"/>
          <w:szCs w:val="22"/>
        </w:rPr>
        <w:t>января</w:t>
      </w:r>
      <w:r w:rsidR="007A773A">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 </w:t>
      </w:r>
    </w:p>
    <w:p w14:paraId="36524125" w14:textId="6822905F"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2D624F">
        <w:rPr>
          <w:b/>
          <w:i/>
          <w:sz w:val="22"/>
          <w:szCs w:val="22"/>
        </w:rPr>
        <w:t>31</w:t>
      </w:r>
      <w:r w:rsidR="006A4E4B">
        <w:rPr>
          <w:b/>
          <w:i/>
          <w:sz w:val="22"/>
          <w:szCs w:val="22"/>
        </w:rPr>
        <w:t xml:space="preserve"> января</w:t>
      </w:r>
      <w:r w:rsidR="00CC63EE">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w:t>
      </w:r>
    </w:p>
    <w:p w14:paraId="0C99EF07" w14:textId="47C3BC85"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6A4E4B">
        <w:rPr>
          <w:b/>
          <w:i/>
          <w:sz w:val="22"/>
          <w:szCs w:val="22"/>
        </w:rPr>
        <w:t>28</w:t>
      </w:r>
      <w:r w:rsidR="007A773A">
        <w:rPr>
          <w:b/>
          <w:i/>
          <w:sz w:val="22"/>
          <w:szCs w:val="22"/>
        </w:rPr>
        <w:t xml:space="preserve"> </w:t>
      </w:r>
      <w:r w:rsidR="006A4E4B">
        <w:rPr>
          <w:b/>
          <w:i/>
          <w:sz w:val="22"/>
          <w:szCs w:val="22"/>
        </w:rPr>
        <w:t xml:space="preserve">февраля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 xml:space="preserve">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w:t>
      </w:r>
      <w:r w:rsidRPr="002B2C6F">
        <w:rPr>
          <w:sz w:val="22"/>
          <w:szCs w:val="22"/>
        </w:rPr>
        <w:lastRenderedPageBreak/>
        <w:t>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68CDD510"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6A4E4B">
        <w:rPr>
          <w:b/>
          <w:i/>
          <w:sz w:val="22"/>
          <w:szCs w:val="22"/>
        </w:rPr>
        <w:t xml:space="preserve">28 февраля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47E3C6B5" w14:textId="55635BC0"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6A4E4B">
        <w:rPr>
          <w:b/>
          <w:i/>
          <w:sz w:val="22"/>
          <w:szCs w:val="22"/>
        </w:rPr>
        <w:t xml:space="preserve">28 февраля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5B2B81CF"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6A4E4B">
        <w:rPr>
          <w:b/>
          <w:i/>
          <w:sz w:val="22"/>
          <w:szCs w:val="22"/>
        </w:rPr>
        <w:t xml:space="preserve">28 февраля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xml:space="preserve">: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w:t>
      </w:r>
      <w:r w:rsidRPr="002B2C6F">
        <w:rPr>
          <w:sz w:val="22"/>
          <w:szCs w:val="22"/>
        </w:rPr>
        <w:lastRenderedPageBreak/>
        <w:t>одного заявителя.</w:t>
      </w:r>
    </w:p>
    <w:p w14:paraId="54DECDDD" w14:textId="13FDFFC2"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01</w:t>
      </w:r>
      <w:r w:rsidR="006A4E4B">
        <w:rPr>
          <w:b/>
          <w:i/>
          <w:iCs/>
          <w:sz w:val="22"/>
          <w:szCs w:val="22"/>
        </w:rPr>
        <w:t xml:space="preserve"> марта</w:t>
      </w:r>
      <w:r w:rsidRPr="002B2C6F">
        <w:rPr>
          <w:b/>
          <w:i/>
          <w:sz w:val="22"/>
          <w:szCs w:val="22"/>
        </w:rPr>
        <w:t xml:space="preserve"> 202</w:t>
      </w:r>
      <w:r w:rsidR="00E41F91">
        <w:rPr>
          <w:b/>
          <w:i/>
          <w:sz w:val="22"/>
          <w:szCs w:val="22"/>
        </w:rPr>
        <w:t>2</w:t>
      </w:r>
      <w:r w:rsidRPr="002B2C6F">
        <w:rPr>
          <w:b/>
          <w:i/>
          <w:sz w:val="22"/>
          <w:szCs w:val="22"/>
        </w:rPr>
        <w:t xml:space="preserve"> года.</w:t>
      </w:r>
    </w:p>
    <w:p w14:paraId="028C6849" w14:textId="04397BF7"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E3302D">
        <w:rPr>
          <w:b/>
          <w:i/>
          <w:sz w:val="22"/>
          <w:szCs w:val="22"/>
        </w:rPr>
        <w:t>0</w:t>
      </w:r>
      <w:r w:rsidR="006A4E4B">
        <w:rPr>
          <w:b/>
          <w:i/>
          <w:sz w:val="22"/>
          <w:szCs w:val="22"/>
        </w:rPr>
        <w:t>3</w:t>
      </w:r>
      <w:r w:rsidRPr="006D744F">
        <w:rPr>
          <w:b/>
          <w:i/>
          <w:sz w:val="22"/>
          <w:szCs w:val="22"/>
        </w:rPr>
        <w:t>.202</w:t>
      </w:r>
      <w:r w:rsidR="00E3302D">
        <w:rPr>
          <w:b/>
          <w:i/>
          <w:sz w:val="22"/>
          <w:szCs w:val="22"/>
        </w:rPr>
        <w:t>2</w:t>
      </w:r>
      <w:r w:rsidRPr="006D744F">
        <w:rPr>
          <w:b/>
          <w:i/>
          <w:sz w:val="22"/>
          <w:szCs w:val="22"/>
        </w:rPr>
        <w:t xml:space="preserve"> года по </w:t>
      </w:r>
      <w:r w:rsidR="00805B71">
        <w:rPr>
          <w:b/>
          <w:i/>
          <w:sz w:val="22"/>
          <w:szCs w:val="22"/>
        </w:rPr>
        <w:t>3</w:t>
      </w:r>
      <w:r w:rsidR="00E41F91">
        <w:rPr>
          <w:b/>
          <w:i/>
          <w:sz w:val="22"/>
          <w:szCs w:val="22"/>
        </w:rPr>
        <w:t>1</w:t>
      </w:r>
      <w:r w:rsidR="006D744F" w:rsidRPr="006D744F">
        <w:rPr>
          <w:b/>
          <w:i/>
          <w:sz w:val="22"/>
          <w:szCs w:val="22"/>
        </w:rPr>
        <w:t>.</w:t>
      </w:r>
      <w:r w:rsidR="006A4E4B">
        <w:rPr>
          <w:b/>
          <w:i/>
          <w:sz w:val="22"/>
          <w:szCs w:val="22"/>
        </w:rPr>
        <w:t>01</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F5C8851" w14:textId="77777777" w:rsidR="00C14446" w:rsidRDefault="00C14446" w:rsidP="00CC63EE">
      <w:pPr>
        <w:pStyle w:val="a7"/>
        <w:spacing w:line="312" w:lineRule="auto"/>
        <w:rPr>
          <w:b/>
          <w:bCs/>
          <w:i w:val="0"/>
          <w:sz w:val="22"/>
          <w:szCs w:val="22"/>
          <w:u w:val="single"/>
        </w:rPr>
      </w:pPr>
    </w:p>
    <w:p w14:paraId="64B75FFB" w14:textId="77777777" w:rsidR="006A4E4B" w:rsidRDefault="006A4E4B" w:rsidP="00274D10">
      <w:pPr>
        <w:pStyle w:val="a7"/>
        <w:spacing w:line="312" w:lineRule="auto"/>
        <w:jc w:val="center"/>
        <w:rPr>
          <w:b/>
          <w:bCs/>
          <w:i w:val="0"/>
          <w:sz w:val="22"/>
          <w:szCs w:val="22"/>
          <w:u w:val="single"/>
        </w:rPr>
      </w:pPr>
    </w:p>
    <w:p w14:paraId="5804478D" w14:textId="77777777" w:rsidR="006A4E4B" w:rsidRDefault="006A4E4B" w:rsidP="00274D10">
      <w:pPr>
        <w:pStyle w:val="a7"/>
        <w:spacing w:line="312" w:lineRule="auto"/>
        <w:jc w:val="center"/>
        <w:rPr>
          <w:b/>
          <w:bCs/>
          <w:i w:val="0"/>
          <w:sz w:val="22"/>
          <w:szCs w:val="22"/>
          <w:u w:val="single"/>
        </w:rPr>
      </w:pP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 xml:space="preserve">полученную не ранее чем за шесть месяцев до даты размещения на официальном сайте торгов </w:t>
      </w:r>
      <w:r w:rsidRPr="002B2C6F">
        <w:rPr>
          <w:rFonts w:ascii="Times New Roman" w:hAnsi="Times New Roman" w:cs="Times New Roman"/>
          <w:color w:val="000000"/>
          <w:sz w:val="22"/>
          <w:szCs w:val="22"/>
        </w:rPr>
        <w:lastRenderedPageBreak/>
        <w:t>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w:t>
      </w:r>
      <w:r w:rsidRPr="002B2C6F">
        <w:rPr>
          <w:rFonts w:ascii="Times New Roman" w:hAnsi="Times New Roman" w:cs="Times New Roman"/>
          <w:sz w:val="22"/>
          <w:szCs w:val="22"/>
        </w:rPr>
        <w:lastRenderedPageBreak/>
        <w:t>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406BB784" w14:textId="77777777" w:rsidR="00C14446" w:rsidRPr="002B2C6F" w:rsidRDefault="00C14446" w:rsidP="00346CE9">
      <w:pPr>
        <w:pStyle w:val="a7"/>
        <w:spacing w:line="312" w:lineRule="auto"/>
        <w:ind w:firstLine="708"/>
        <w:jc w:val="both"/>
        <w:rPr>
          <w:i w:val="0"/>
          <w:sz w:val="22"/>
          <w:szCs w:val="22"/>
        </w:rPr>
      </w:pP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w:t>
      </w:r>
      <w:r w:rsidRPr="002B2C6F">
        <w:rPr>
          <w:i w:val="0"/>
          <w:sz w:val="22"/>
          <w:szCs w:val="22"/>
        </w:rPr>
        <w:lastRenderedPageBreak/>
        <w:t>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 xml:space="preserve">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w:t>
      </w:r>
      <w:r w:rsidRPr="002B2C6F">
        <w:rPr>
          <w:i w:val="0"/>
          <w:sz w:val="22"/>
          <w:szCs w:val="22"/>
        </w:rPr>
        <w:lastRenderedPageBreak/>
        <w:t>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lastRenderedPageBreak/>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w:t>
      </w:r>
      <w:r w:rsidRPr="002B2C6F">
        <w:rPr>
          <w:rFonts w:eastAsia="Arial"/>
          <w:i w:val="0"/>
          <w:sz w:val="22"/>
          <w:szCs w:val="22"/>
        </w:rPr>
        <w:lastRenderedPageBreak/>
        <w:t>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w:t>
      </w:r>
      <w:r w:rsidRPr="002B2C6F">
        <w:rPr>
          <w:rFonts w:ascii="Times New Roman" w:hAnsi="Times New Roman" w:cs="Times New Roman"/>
          <w:sz w:val="22"/>
          <w:szCs w:val="22"/>
        </w:rPr>
        <w:lastRenderedPageBreak/>
        <w:t xml:space="preserve">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6E4C4F70" w14:textId="77777777" w:rsidR="00C14446" w:rsidRPr="002B2C6F" w:rsidRDefault="00C14446" w:rsidP="00346CE9">
      <w:pPr>
        <w:pStyle w:val="affff"/>
        <w:spacing w:line="312" w:lineRule="auto"/>
        <w:rPr>
          <w:rFonts w:ascii="Times New Roman" w:hAnsi="Times New Roman" w:cs="Times New Roman"/>
          <w:sz w:val="22"/>
          <w:szCs w:val="22"/>
        </w:rPr>
      </w:pP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12435990" w:rsidR="0079533F" w:rsidRPr="003F3119" w:rsidRDefault="0079533F" w:rsidP="0079533F">
            <w:pPr>
              <w:spacing w:line="312" w:lineRule="auto"/>
              <w:ind w:firstLine="567"/>
              <w:jc w:val="both"/>
              <w:rPr>
                <w:b/>
                <w:sz w:val="20"/>
                <w:szCs w:val="20"/>
              </w:rPr>
            </w:pPr>
            <w:r w:rsidRPr="003F3119">
              <w:rPr>
                <w:b/>
                <w:sz w:val="20"/>
                <w:szCs w:val="20"/>
              </w:rPr>
              <w:t>Лот №1: офис №2</w:t>
            </w:r>
            <w:r w:rsidR="006A4E4B">
              <w:rPr>
                <w:b/>
                <w:sz w:val="20"/>
                <w:szCs w:val="20"/>
              </w:rPr>
              <w:t>0</w:t>
            </w:r>
            <w:r w:rsidR="002C6E99">
              <w:rPr>
                <w:b/>
                <w:sz w:val="20"/>
                <w:szCs w:val="20"/>
              </w:rPr>
              <w:t>4</w:t>
            </w:r>
            <w:r w:rsidRPr="003F3119">
              <w:rPr>
                <w:b/>
                <w:sz w:val="20"/>
                <w:szCs w:val="20"/>
              </w:rPr>
              <w:t xml:space="preserve"> на втором этаже общей площадью </w:t>
            </w:r>
            <w:r w:rsidR="002C6E99">
              <w:rPr>
                <w:b/>
                <w:sz w:val="20"/>
                <w:szCs w:val="20"/>
              </w:rPr>
              <w:t>20</w:t>
            </w:r>
            <w:r w:rsidR="00E41F91">
              <w:rPr>
                <w:b/>
                <w:sz w:val="20"/>
                <w:szCs w:val="20"/>
              </w:rPr>
              <w:t>,</w:t>
            </w:r>
            <w:r w:rsidR="002C6E99">
              <w:rPr>
                <w:b/>
                <w:sz w:val="20"/>
                <w:szCs w:val="20"/>
              </w:rPr>
              <w:t>2</w:t>
            </w:r>
            <w:r w:rsidR="00D66855">
              <w:rPr>
                <w:b/>
                <w:sz w:val="20"/>
                <w:szCs w:val="20"/>
              </w:rPr>
              <w:t xml:space="preserve">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3560EEF1" w14:textId="77777777" w:rsidR="00D66855" w:rsidRDefault="0079533F" w:rsidP="00CC63EE">
            <w:pPr>
              <w:pStyle w:val="afffa"/>
              <w:spacing w:line="312" w:lineRule="auto"/>
              <w:ind w:firstLine="567"/>
              <w:rPr>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62BB5E1A" w14:textId="453D0513" w:rsidR="006A4E4B" w:rsidRPr="003F3119" w:rsidRDefault="006A4E4B" w:rsidP="006A4E4B">
            <w:pPr>
              <w:spacing w:line="312" w:lineRule="auto"/>
              <w:ind w:firstLine="567"/>
              <w:jc w:val="both"/>
              <w:rPr>
                <w:b/>
                <w:sz w:val="20"/>
                <w:szCs w:val="20"/>
              </w:rPr>
            </w:pPr>
            <w:r w:rsidRPr="003F3119">
              <w:rPr>
                <w:b/>
                <w:sz w:val="20"/>
                <w:szCs w:val="20"/>
              </w:rPr>
              <w:t>Лот №</w:t>
            </w:r>
            <w:r>
              <w:rPr>
                <w:b/>
                <w:sz w:val="20"/>
                <w:szCs w:val="20"/>
              </w:rPr>
              <w:t>2</w:t>
            </w:r>
            <w:r w:rsidRPr="003F3119">
              <w:rPr>
                <w:b/>
                <w:sz w:val="20"/>
                <w:szCs w:val="20"/>
              </w:rPr>
              <w:t>: офис №2</w:t>
            </w:r>
            <w:r>
              <w:rPr>
                <w:b/>
                <w:sz w:val="20"/>
                <w:szCs w:val="20"/>
              </w:rPr>
              <w:t>17</w:t>
            </w:r>
            <w:r w:rsidRPr="003F3119">
              <w:rPr>
                <w:b/>
                <w:sz w:val="20"/>
                <w:szCs w:val="20"/>
              </w:rPr>
              <w:t xml:space="preserve"> на втором этаже общей площадью </w:t>
            </w:r>
            <w:r>
              <w:rPr>
                <w:b/>
                <w:sz w:val="20"/>
                <w:szCs w:val="20"/>
              </w:rPr>
              <w:t xml:space="preserve">14,0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4591A40B" w14:textId="49160162" w:rsidR="006A4E4B" w:rsidRPr="00CC63EE" w:rsidRDefault="006A4E4B" w:rsidP="006A4E4B">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4E1FEA0B"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E3302D">
              <w:rPr>
                <w:b/>
                <w:sz w:val="20"/>
                <w:szCs w:val="20"/>
              </w:rPr>
              <w:t>0</w:t>
            </w:r>
            <w:r w:rsidR="006A4E4B">
              <w:rPr>
                <w:b/>
                <w:sz w:val="20"/>
                <w:szCs w:val="20"/>
              </w:rPr>
              <w:t>3</w:t>
            </w:r>
            <w:r w:rsidRPr="006D744F">
              <w:rPr>
                <w:b/>
                <w:sz w:val="20"/>
                <w:szCs w:val="20"/>
              </w:rPr>
              <w:t>.202</w:t>
            </w:r>
            <w:r w:rsidR="00E3302D">
              <w:rPr>
                <w:b/>
                <w:sz w:val="20"/>
                <w:szCs w:val="20"/>
              </w:rPr>
              <w:t>2</w:t>
            </w:r>
            <w:r w:rsidRPr="006D744F">
              <w:rPr>
                <w:sz w:val="20"/>
                <w:szCs w:val="20"/>
              </w:rPr>
              <w:t xml:space="preserve"> года по </w:t>
            </w:r>
            <w:r w:rsidR="00CC63EE">
              <w:rPr>
                <w:b/>
                <w:bCs/>
                <w:sz w:val="20"/>
                <w:szCs w:val="20"/>
              </w:rPr>
              <w:t>3</w:t>
            </w:r>
            <w:r w:rsidR="00E41F91">
              <w:rPr>
                <w:b/>
                <w:bCs/>
                <w:sz w:val="20"/>
                <w:szCs w:val="20"/>
              </w:rPr>
              <w:t>1</w:t>
            </w:r>
            <w:r w:rsidRPr="006D744F">
              <w:rPr>
                <w:b/>
                <w:bCs/>
                <w:sz w:val="20"/>
                <w:szCs w:val="20"/>
              </w:rPr>
              <w:t>.</w:t>
            </w:r>
            <w:r w:rsidR="006A4E4B">
              <w:rPr>
                <w:b/>
                <w:bCs/>
                <w:sz w:val="20"/>
                <w:szCs w:val="20"/>
              </w:rPr>
              <w:t>01</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13D3B824" w:rsidR="004F6FBC" w:rsidRPr="003F3119" w:rsidRDefault="004F6FBC" w:rsidP="004F6FBC">
            <w:pPr>
              <w:rPr>
                <w:sz w:val="20"/>
                <w:szCs w:val="20"/>
              </w:rPr>
            </w:pPr>
            <w:r w:rsidRPr="003F3119">
              <w:rPr>
                <w:b/>
                <w:sz w:val="20"/>
                <w:szCs w:val="20"/>
              </w:rPr>
              <w:t>Дата начала аренды помещений – 01.</w:t>
            </w:r>
            <w:r w:rsidR="00E3302D">
              <w:rPr>
                <w:b/>
                <w:sz w:val="20"/>
                <w:szCs w:val="20"/>
              </w:rPr>
              <w:t>0</w:t>
            </w:r>
            <w:r w:rsidR="006A4E4B">
              <w:rPr>
                <w:b/>
                <w:sz w:val="20"/>
                <w:szCs w:val="20"/>
              </w:rPr>
              <w:t>3</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4DE13C28"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E41F91">
              <w:rPr>
                <w:rFonts w:eastAsia="Times New Roman"/>
                <w:lang w:eastAsia="ru-RU"/>
              </w:rPr>
              <w:t>0805-21</w:t>
            </w:r>
            <w:r w:rsidRPr="00562732">
              <w:rPr>
                <w:rFonts w:eastAsia="Times New Roman"/>
                <w:lang w:eastAsia="ru-RU"/>
              </w:rPr>
              <w:t xml:space="preserve"> от </w:t>
            </w:r>
            <w:r w:rsidR="00E41F91">
              <w:rPr>
                <w:rFonts w:eastAsia="Times New Roman"/>
                <w:lang w:eastAsia="ru-RU"/>
              </w:rPr>
              <w:t>13</w:t>
            </w:r>
            <w:r w:rsidRPr="00562732">
              <w:rPr>
                <w:rFonts w:eastAsia="Times New Roman"/>
                <w:lang w:eastAsia="ru-RU"/>
              </w:rPr>
              <w:t>.</w:t>
            </w:r>
            <w:r w:rsidR="00E41F91">
              <w:rPr>
                <w:rFonts w:eastAsia="Times New Roman"/>
                <w:lang w:eastAsia="ru-RU"/>
              </w:rPr>
              <w:t>12</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42</w:t>
            </w:r>
            <w:r w:rsidRPr="00562732">
              <w:rPr>
                <w:rFonts w:eastAsia="Times New Roman"/>
                <w:lang w:eastAsia="ru-RU"/>
              </w:rPr>
              <w:t xml:space="preserve"> (пятьсот </w:t>
            </w:r>
            <w:r w:rsidR="00E41F91">
              <w:rPr>
                <w:rFonts w:eastAsia="Times New Roman"/>
                <w:lang w:eastAsia="ru-RU"/>
              </w:rPr>
              <w:t>сорок два</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w:t>
            </w:r>
            <w:r w:rsidR="00293347" w:rsidRPr="00562732">
              <w:lastRenderedPageBreak/>
              <w:t xml:space="preserve">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58ABA086"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E41F91">
              <w:rPr>
                <w:rFonts w:eastAsia="Times New Roman"/>
                <w:lang w:eastAsia="ru-RU"/>
              </w:rPr>
              <w:t>19</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395237CE"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E41F91">
              <w:rPr>
                <w:rFonts w:eastAsia="Times New Roman"/>
                <w:lang w:eastAsia="ru-RU"/>
              </w:rPr>
              <w:t xml:space="preserve">второй </w:t>
            </w:r>
            <w:r w:rsidR="00E41F91" w:rsidRPr="00562732">
              <w:rPr>
                <w:rFonts w:eastAsia="Times New Roman"/>
                <w:lang w:eastAsia="ru-RU"/>
              </w:rPr>
              <w:t xml:space="preserve">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/кв.м./мес.;</w:t>
            </w:r>
          </w:p>
          <w:p w14:paraId="5D5CDAE5" w14:textId="31983114"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488C8900"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E3302D">
              <w:rPr>
                <w:b/>
              </w:rPr>
              <w:t>3</w:t>
            </w:r>
            <w:r w:rsidR="006A4E4B">
              <w:rPr>
                <w:b/>
              </w:rPr>
              <w:t>1</w:t>
            </w:r>
            <w:r w:rsidR="004F6FBC" w:rsidRPr="003F3119">
              <w:rPr>
                <w:b/>
              </w:rPr>
              <w:t>.</w:t>
            </w:r>
            <w:r w:rsidR="006A4E4B">
              <w:rPr>
                <w:b/>
              </w:rPr>
              <w:t>01</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6B079042"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2C6E99">
              <w:rPr>
                <w:b/>
                <w:sz w:val="20"/>
                <w:szCs w:val="20"/>
              </w:rPr>
              <w:t>28</w:t>
            </w:r>
            <w:r w:rsidR="00346CE9" w:rsidRPr="003F3119">
              <w:rPr>
                <w:b/>
                <w:sz w:val="20"/>
                <w:szCs w:val="20"/>
              </w:rPr>
              <w:t>.</w:t>
            </w:r>
            <w:r w:rsidR="00E76755">
              <w:rPr>
                <w:b/>
                <w:sz w:val="20"/>
                <w:szCs w:val="20"/>
              </w:rPr>
              <w:t>0</w:t>
            </w:r>
            <w:r w:rsidR="002C6E99">
              <w:rPr>
                <w:b/>
                <w:sz w:val="20"/>
                <w:szCs w:val="20"/>
              </w:rPr>
              <w:t>2</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659CED6B"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2D624F">
              <w:rPr>
                <w:b/>
                <w:sz w:val="20"/>
                <w:szCs w:val="20"/>
              </w:rPr>
              <w:t>28</w:t>
            </w:r>
            <w:r w:rsidRPr="003F3119">
              <w:rPr>
                <w:b/>
                <w:sz w:val="20"/>
                <w:szCs w:val="20"/>
              </w:rPr>
              <w:t>.</w:t>
            </w:r>
            <w:r w:rsidR="00E76755">
              <w:rPr>
                <w:b/>
                <w:sz w:val="20"/>
                <w:szCs w:val="20"/>
              </w:rPr>
              <w:t>0</w:t>
            </w:r>
            <w:r w:rsidR="002D624F">
              <w:rPr>
                <w:b/>
                <w:sz w:val="20"/>
                <w:szCs w:val="20"/>
              </w:rPr>
              <w:t>2</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16BBF6A6"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2D624F">
              <w:rPr>
                <w:b/>
                <w:sz w:val="20"/>
                <w:szCs w:val="20"/>
              </w:rPr>
              <w:t>28</w:t>
            </w:r>
            <w:r w:rsidR="00C95F88" w:rsidRPr="003F3119">
              <w:rPr>
                <w:b/>
                <w:sz w:val="20"/>
                <w:szCs w:val="20"/>
              </w:rPr>
              <w:t>.</w:t>
            </w:r>
            <w:r w:rsidR="00E76755">
              <w:rPr>
                <w:b/>
                <w:sz w:val="20"/>
                <w:szCs w:val="20"/>
              </w:rPr>
              <w:t>0</w:t>
            </w:r>
            <w:r w:rsidR="002D624F">
              <w:rPr>
                <w:b/>
                <w:sz w:val="20"/>
                <w:szCs w:val="20"/>
              </w:rPr>
              <w:t>2</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336DDBFC"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E3302D">
              <w:rPr>
                <w:b/>
                <w:sz w:val="20"/>
                <w:szCs w:val="20"/>
              </w:rPr>
              <w:t>0</w:t>
            </w:r>
            <w:r w:rsidR="002D624F">
              <w:rPr>
                <w:b/>
                <w:sz w:val="20"/>
                <w:szCs w:val="20"/>
              </w:rPr>
              <w:t>3</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w:t>
      </w:r>
      <w:r>
        <w:lastRenderedPageBreak/>
        <w:t>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w:t>
      </w:r>
      <w:r>
        <w:lastRenderedPageBreak/>
        <w:t>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w:t>
      </w:r>
      <w:r>
        <w:lastRenderedPageBreak/>
        <w:t>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lastRenderedPageBreak/>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lastRenderedPageBreak/>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1FD7F360"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117FCE5A" w14:textId="77777777" w:rsidR="00026AAC" w:rsidRDefault="00026AAC" w:rsidP="003B5E9E">
      <w:pPr>
        <w:shd w:val="clear" w:color="auto" w:fill="FFFFFF"/>
        <w:tabs>
          <w:tab w:val="left" w:leader="underscore" w:pos="2650"/>
        </w:tabs>
        <w:spacing w:line="312" w:lineRule="auto"/>
        <w:jc w:val="right"/>
        <w:rPr>
          <w:sz w:val="20"/>
        </w:rPr>
      </w:pPr>
    </w:p>
    <w:p w14:paraId="21031936" w14:textId="77777777" w:rsidR="00026AAC" w:rsidRDefault="00026AAC"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333754E5" w:rsidR="00B841FE" w:rsidRDefault="00B841FE" w:rsidP="00B841FE">
      <w:pPr>
        <w:spacing w:after="120" w:line="312" w:lineRule="auto"/>
        <w:jc w:val="both"/>
      </w:pPr>
      <w:r>
        <w:tab/>
        <w:t>Расчет арендной платы производится на основании Отчета № НН</w:t>
      </w:r>
      <w:r w:rsidR="00E76755">
        <w:t>-0805</w:t>
      </w:r>
      <w:r w:rsidR="00470F47">
        <w:t>-2</w:t>
      </w:r>
      <w:r w:rsidR="009C754E">
        <w:t>1</w:t>
      </w:r>
      <w:r>
        <w:t xml:space="preserve"> от </w:t>
      </w:r>
      <w:r w:rsidR="00E76755">
        <w:t>13</w:t>
      </w:r>
      <w:r>
        <w:t>.</w:t>
      </w:r>
      <w:r w:rsidR="00E76755">
        <w:t>12</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47ECDA1A"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C754E">
              <w:rPr>
                <w:sz w:val="22"/>
                <w:szCs w:val="22"/>
              </w:rPr>
              <w:t>0</w:t>
            </w:r>
            <w:r w:rsidR="00E76755">
              <w:rPr>
                <w:sz w:val="22"/>
                <w:szCs w:val="22"/>
              </w:rPr>
              <w:t>805</w:t>
            </w:r>
            <w:r w:rsidRPr="00607FCF">
              <w:rPr>
                <w:sz w:val="22"/>
                <w:szCs w:val="22"/>
              </w:rPr>
              <w:t>-</w:t>
            </w:r>
            <w:r w:rsidR="00470F47">
              <w:rPr>
                <w:sz w:val="22"/>
                <w:szCs w:val="22"/>
              </w:rPr>
              <w:t>2</w:t>
            </w:r>
            <w:r w:rsidR="009C754E">
              <w:rPr>
                <w:sz w:val="22"/>
                <w:szCs w:val="22"/>
              </w:rPr>
              <w:t>1</w:t>
            </w:r>
            <w:r w:rsidRPr="00607FCF">
              <w:rPr>
                <w:sz w:val="22"/>
                <w:szCs w:val="22"/>
              </w:rPr>
              <w:t xml:space="preserve"> от </w:t>
            </w:r>
            <w:r w:rsidR="00E76755">
              <w:rPr>
                <w:sz w:val="22"/>
                <w:szCs w:val="22"/>
              </w:rPr>
              <w:t>13</w:t>
            </w:r>
            <w:r w:rsidRPr="00607FCF">
              <w:rPr>
                <w:sz w:val="22"/>
                <w:szCs w:val="22"/>
              </w:rPr>
              <w:t>.</w:t>
            </w:r>
            <w:r w:rsidR="00E76755">
              <w:rPr>
                <w:sz w:val="22"/>
                <w:szCs w:val="22"/>
              </w:rPr>
              <w:t>12</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6F1D4DF" w:rsidR="00B841FE" w:rsidRPr="00AF1ACE" w:rsidRDefault="00B841FE">
            <w:pPr>
              <w:snapToGrid w:val="0"/>
              <w:jc w:val="center"/>
              <w:rPr>
                <w:sz w:val="22"/>
                <w:szCs w:val="22"/>
              </w:rPr>
            </w:pPr>
            <w:r w:rsidRPr="00AF1ACE">
              <w:rPr>
                <w:sz w:val="22"/>
                <w:szCs w:val="22"/>
              </w:rPr>
              <w:t>5</w:t>
            </w:r>
            <w:r w:rsidR="00E76755">
              <w:rPr>
                <w:sz w:val="22"/>
                <w:szCs w:val="22"/>
              </w:rPr>
              <w:t>42</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54E2E600"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E76755">
              <w:rPr>
                <w:sz w:val="22"/>
                <w:szCs w:val="22"/>
              </w:rPr>
              <w:t>19</w:t>
            </w:r>
            <w:r w:rsidRPr="00AF1ACE">
              <w:rPr>
                <w:sz w:val="22"/>
                <w:szCs w:val="22"/>
              </w:rPr>
              <w:t xml:space="preserve"> коп.</w:t>
            </w:r>
          </w:p>
        </w:tc>
      </w:tr>
    </w:tbl>
    <w:p w14:paraId="2D16F8AB" w14:textId="5645B930" w:rsidR="00B841FE" w:rsidRDefault="00B841FE" w:rsidP="00B841FE">
      <w:pPr>
        <w:spacing w:before="200" w:after="120"/>
      </w:pPr>
      <w:r>
        <w:t>Данный расчет арендной платы действует с «</w:t>
      </w:r>
      <w:r w:rsidR="00E76755">
        <w:t>13</w:t>
      </w:r>
      <w:r>
        <w:t xml:space="preserve">» </w:t>
      </w:r>
      <w:r w:rsidR="00E76755">
        <w:t>декабря</w:t>
      </w:r>
      <w:r w:rsidR="009C754E">
        <w:t xml:space="preserve">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10E31F38" w:rsidR="00B841FE" w:rsidRPr="00607FCF" w:rsidRDefault="0062485B">
            <w:pPr>
              <w:suppressAutoHyphens/>
              <w:rPr>
                <w:sz w:val="22"/>
                <w:szCs w:val="22"/>
              </w:rPr>
            </w:pPr>
            <w:r w:rsidRPr="00607FCF">
              <w:rPr>
                <w:sz w:val="22"/>
                <w:szCs w:val="22"/>
              </w:rPr>
              <w:t xml:space="preserve">1 </w:t>
            </w:r>
            <w:r w:rsidR="00516BD5">
              <w:rPr>
                <w:sz w:val="22"/>
                <w:szCs w:val="22"/>
              </w:rPr>
              <w:t>(</w:t>
            </w:r>
            <w:r w:rsidR="002D624F">
              <w:rPr>
                <w:sz w:val="22"/>
                <w:szCs w:val="22"/>
              </w:rPr>
              <w:t>март</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5024CDAF" w:rsidR="00B841FE" w:rsidRPr="00607FCF" w:rsidRDefault="0062485B">
            <w:pPr>
              <w:suppressAutoHyphens/>
              <w:rPr>
                <w:sz w:val="22"/>
                <w:szCs w:val="22"/>
              </w:rPr>
            </w:pPr>
            <w:r w:rsidRPr="00607FCF">
              <w:rPr>
                <w:sz w:val="22"/>
                <w:szCs w:val="22"/>
              </w:rPr>
              <w:t>2 (</w:t>
            </w:r>
            <w:r w:rsidR="002D624F">
              <w:rPr>
                <w:sz w:val="22"/>
                <w:szCs w:val="22"/>
              </w:rPr>
              <w:t>апрель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3CFE896F"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2D624F">
              <w:rPr>
                <w:sz w:val="22"/>
                <w:szCs w:val="22"/>
              </w:rPr>
              <w:t>май</w:t>
            </w:r>
            <w:r w:rsidR="00CC63EE">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6AF6C53C"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D624F">
              <w:rPr>
                <w:sz w:val="22"/>
                <w:szCs w:val="22"/>
              </w:rPr>
              <w:t>(июнь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1B3F3819"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E76755">
              <w:rPr>
                <w:sz w:val="22"/>
                <w:szCs w:val="22"/>
              </w:rPr>
              <w:t>и</w:t>
            </w:r>
            <w:r w:rsidR="002D624F">
              <w:rPr>
                <w:sz w:val="22"/>
                <w:szCs w:val="22"/>
              </w:rPr>
              <w:t>юль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41A8BBD4"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2D624F">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1F520202"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2D624F">
              <w:rPr>
                <w:sz w:val="22"/>
                <w:szCs w:val="22"/>
              </w:rPr>
              <w:t>сентябрь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4AD370E9"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2D624F">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2EFEF521"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2D624F">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24EC93B1"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2D624F">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3A80FCB6"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2D624F">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A4E4B"/>
    <w:rsid w:val="006B3938"/>
    <w:rsid w:val="006C101B"/>
    <w:rsid w:val="006C49D9"/>
    <w:rsid w:val="006D3AE1"/>
    <w:rsid w:val="006D4764"/>
    <w:rsid w:val="006D69BF"/>
    <w:rsid w:val="006D744F"/>
    <w:rsid w:val="006E442D"/>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4558D"/>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15490"/>
    <w:rsid w:val="00E169C5"/>
    <w:rsid w:val="00E21A63"/>
    <w:rsid w:val="00E3302D"/>
    <w:rsid w:val="00E41F91"/>
    <w:rsid w:val="00E50C0C"/>
    <w:rsid w:val="00E54A01"/>
    <w:rsid w:val="00E54E12"/>
    <w:rsid w:val="00E76755"/>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A4E4B"/>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55</Pages>
  <Words>15005</Words>
  <Characters>112843</Characters>
  <Application>Microsoft Office Word</Application>
  <DocSecurity>0</DocSecurity>
  <Lines>940</Lines>
  <Paragraphs>255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56</cp:revision>
  <cp:lastPrinted>2021-02-26T13:46:00Z</cp:lastPrinted>
  <dcterms:created xsi:type="dcterms:W3CDTF">2020-12-14T10:00:00Z</dcterms:created>
  <dcterms:modified xsi:type="dcterms:W3CDTF">2022-02-02T05:15:00Z</dcterms:modified>
</cp:coreProperties>
</file>